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F5A" w:rsidRPr="000A1F5A" w:rsidRDefault="000A1F5A" w:rsidP="000A1F5A">
      <w:pPr>
        <w:adjustRightInd w:val="0"/>
        <w:snapToGrid w:val="0"/>
        <w:spacing w:line="600" w:lineRule="exact"/>
        <w:jc w:val="left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0A1F5A">
        <w:rPr>
          <w:rFonts w:ascii="黑体" w:eastAsia="黑体" w:hAnsi="黑体" w:hint="eastAsia"/>
          <w:color w:val="000000" w:themeColor="text1"/>
          <w:sz w:val="32"/>
          <w:szCs w:val="32"/>
        </w:rPr>
        <w:t>学习</w:t>
      </w:r>
      <w:r w:rsidRPr="000A1F5A">
        <w:rPr>
          <w:rFonts w:ascii="黑体" w:eastAsia="黑体" w:hAnsi="黑体"/>
          <w:color w:val="000000" w:themeColor="text1"/>
          <w:sz w:val="32"/>
          <w:szCs w:val="32"/>
        </w:rPr>
        <w:t>文件</w:t>
      </w:r>
      <w:r w:rsidRPr="000A1F5A">
        <w:rPr>
          <w:rFonts w:ascii="黑体" w:eastAsia="黑体" w:hAnsi="黑体" w:hint="eastAsia"/>
          <w:color w:val="000000" w:themeColor="text1"/>
          <w:sz w:val="32"/>
          <w:szCs w:val="32"/>
        </w:rPr>
        <w:t>4:</w:t>
      </w:r>
    </w:p>
    <w:p w:rsidR="000A1F5A" w:rsidRPr="000A1F5A" w:rsidRDefault="000A1F5A" w:rsidP="00AF2788">
      <w:pPr>
        <w:adjustRightInd w:val="0"/>
        <w:snapToGrid w:val="0"/>
        <w:spacing w:line="600" w:lineRule="exact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</w:p>
    <w:p w:rsidR="000A1F5A" w:rsidRDefault="00AF2788" w:rsidP="00AF2788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 w:rsidRPr="00AF2788">
        <w:rPr>
          <w:rFonts w:ascii="华文中宋" w:eastAsia="华文中宋" w:hAnsi="华文中宋" w:hint="eastAsia"/>
          <w:color w:val="000000" w:themeColor="text1"/>
          <w:sz w:val="44"/>
          <w:szCs w:val="44"/>
        </w:rPr>
        <w:t>国家金融监督管理总局</w:t>
      </w:r>
    </w:p>
    <w:p w:rsidR="00AF2788" w:rsidRPr="00AF2788" w:rsidRDefault="00AF2788" w:rsidP="00AF2788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 w:rsidRPr="00AF2788">
        <w:rPr>
          <w:rFonts w:ascii="华文中宋" w:eastAsia="华文中宋" w:hAnsi="华文中宋" w:hint="eastAsia"/>
          <w:color w:val="000000" w:themeColor="text1"/>
          <w:sz w:val="44"/>
          <w:szCs w:val="44"/>
        </w:rPr>
        <w:t>召开会议部署党纪学习教育工作</w:t>
      </w:r>
    </w:p>
    <w:p w:rsidR="00AF2788" w:rsidRPr="00AF2788" w:rsidRDefault="00AF2788" w:rsidP="00AF2788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</w:p>
    <w:p w:rsidR="00AF2788" w:rsidRPr="00AF2788" w:rsidRDefault="00AF2788" w:rsidP="00AF2788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4月12日，金融监管总局召开党委会议，传达学</w:t>
      </w:r>
      <w:proofErr w:type="gramStart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习习近</w:t>
      </w:r>
      <w:proofErr w:type="gramEnd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平总书记关于党纪学习教育重要讲话和重要指示精神，贯彻落实中央党的建设工作领导小组会议和《中共中央办公厅关于在全党开展党纪学习教育的通知》要求，审议《金融监管总局系统党纪学习教育实施方案》，安排部署相关工作。金融监管总局党委书记、局长李云泽主持会议并讲话，总局党委班子成员出席会议。金融监管总局系统党纪学习教育全面启动开展。</w:t>
      </w:r>
    </w:p>
    <w:p w:rsidR="00AF2788" w:rsidRPr="00AF2788" w:rsidRDefault="00AF2788" w:rsidP="00AF2788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会议认为，习近平总书记关于党纪学习教育的重要讲话和重要指示精神，为全党开展党纪学习教育提供了根本遵循。金融监管总局系统各级党组织和广大党员干部要提高政治站位，认真学习领会，主动对标对表，坚决把思想和行动统一到党中央决策部署上来。开展党纪学习教育是以习近平同志为核心的党中央</w:t>
      </w:r>
      <w:proofErr w:type="gramStart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作出</w:t>
      </w:r>
      <w:proofErr w:type="gramEnd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的重大决策部署，是加强党的纪律建设，推动全面从严治党向纵深发展的重要举措，必须扎实开展党纪学习教育，进一步强化遵守纪律的自觉，更加深刻把握金融工作的政治性、人民性，坚持党中央对金融工作的集中统一领导，坚定拥护“两个确立”、坚决做到“两个维护”。</w:t>
      </w:r>
    </w:p>
    <w:p w:rsidR="00AF2788" w:rsidRPr="00AF2788" w:rsidRDefault="00AF2788" w:rsidP="00AF2788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会议指出，金融监管总局系统各级党组织要把开展党纪学</w:t>
      </w:r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习教育作为重要政治任务，深入学习贯彻习近平新时代中国特色社会主义思想，准确把握开展党纪学习教育的目标要求，精准发力、抓深抓实，推动广大党员干部进一步强化纪律意识、加强自我约束、提高免疫能力，增强政治定力、纪律定力、道德定力、</w:t>
      </w:r>
      <w:proofErr w:type="gramStart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抵腐定</w:t>
      </w:r>
      <w:proofErr w:type="gramEnd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力，始终做到忠诚干净担当。要坚持原原本本学，个人自学与集中学习相结合，通过党委理论学习中心组学习、读书班、党员学习会等方式，组织党员干部逐章逐条学习《中国共产党纪律处分条例》，深入开展研讨，切实做到学懂弄通、熟练掌握。要抓好</w:t>
      </w:r>
      <w:proofErr w:type="gramStart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以案促学</w:t>
      </w:r>
      <w:proofErr w:type="gramEnd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，强化警示教育，用好以案说德、以案说纪、以案说法、以</w:t>
      </w:r>
      <w:proofErr w:type="gramStart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案说责的</w:t>
      </w:r>
      <w:proofErr w:type="gramEnd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“活教材”，分层分类开展好警示教育，涵养清廉金融文化。要抓好以训助学，切实</w:t>
      </w:r>
      <w:bookmarkStart w:id="0" w:name="_GoBack"/>
      <w:bookmarkEnd w:id="0"/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做好条例解读和培训工作，帮助党员干部深刻理解、准确把握精神实质。要注重贯通融合，把党纪教育和党性教育、廉洁文化教育统筹起来推进，坚持党性党风党纪一起抓，推动把纪律教育寓于日常监督管理，使铁的纪律转化为党员干部的日常习惯和自觉遵循。</w:t>
      </w:r>
    </w:p>
    <w:p w:rsidR="00AF2788" w:rsidRPr="00AF2788" w:rsidRDefault="00AF2788" w:rsidP="00AF2788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AF2788">
        <w:rPr>
          <w:rFonts w:ascii="仿宋_GB2312" w:eastAsia="仿宋_GB2312" w:hint="eastAsia"/>
          <w:color w:val="000000" w:themeColor="text1"/>
          <w:sz w:val="32"/>
          <w:szCs w:val="32"/>
        </w:rPr>
        <w:t>会议强调，系统各级党组织要切实扛起领导责任，认真谋划安排，精心组织实施，确保取得实效。要做好宣传引导，坚决反对形式主义。要注重统筹兼顾、两手抓两促进，把开展党纪学习教育同贯彻党中央重大决策部署、落实中央金融工作会议精神相结合，系统谋划、一体推进，使党纪学习教育每项措施都成为促进中心工作的有效举措，为推进金融高质量发展提供坚强保证。</w:t>
      </w:r>
    </w:p>
    <w:sectPr w:rsidR="00AF2788" w:rsidRPr="00AF2788" w:rsidSect="000A1F5A">
      <w:footerReference w:type="default" r:id="rId6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C59" w:rsidRDefault="00495C59" w:rsidP="00AF2788">
      <w:r>
        <w:separator/>
      </w:r>
    </w:p>
  </w:endnote>
  <w:endnote w:type="continuationSeparator" w:id="0">
    <w:p w:rsidR="00495C59" w:rsidRDefault="00495C59" w:rsidP="00AF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5072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4"/>
        <w:szCs w:val="24"/>
      </w:rPr>
    </w:sdtEndPr>
    <w:sdtContent>
      <w:p w:rsidR="00AF2788" w:rsidRPr="00AF2788" w:rsidRDefault="00AF2788">
        <w:pPr>
          <w:pStyle w:val="a4"/>
          <w:jc w:val="center"/>
          <w:rPr>
            <w:rFonts w:ascii="仿宋_GB2312" w:eastAsia="仿宋_GB2312"/>
            <w:sz w:val="24"/>
            <w:szCs w:val="24"/>
          </w:rPr>
        </w:pPr>
        <w:r w:rsidRPr="00AF2788">
          <w:rPr>
            <w:rFonts w:ascii="仿宋_GB2312" w:eastAsia="仿宋_GB2312" w:hint="eastAsia"/>
            <w:sz w:val="24"/>
            <w:szCs w:val="24"/>
          </w:rPr>
          <w:fldChar w:fldCharType="begin"/>
        </w:r>
        <w:r w:rsidRPr="00AF2788">
          <w:rPr>
            <w:rFonts w:ascii="仿宋_GB2312" w:eastAsia="仿宋_GB2312" w:hint="eastAsia"/>
            <w:sz w:val="24"/>
            <w:szCs w:val="24"/>
          </w:rPr>
          <w:instrText>PAGE   \* MERGEFORMAT</w:instrText>
        </w:r>
        <w:r w:rsidRPr="00AF2788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="000A1F5A" w:rsidRPr="000A1F5A">
          <w:rPr>
            <w:rFonts w:ascii="仿宋_GB2312" w:eastAsia="仿宋_GB2312"/>
            <w:noProof/>
            <w:sz w:val="24"/>
            <w:szCs w:val="24"/>
            <w:lang w:val="zh-CN"/>
          </w:rPr>
          <w:t>1</w:t>
        </w:r>
        <w:r w:rsidRPr="00AF2788">
          <w:rPr>
            <w:rFonts w:ascii="仿宋_GB2312" w:eastAsia="仿宋_GB2312" w:hint="eastAsia"/>
            <w:sz w:val="24"/>
            <w:szCs w:val="24"/>
          </w:rPr>
          <w:fldChar w:fldCharType="end"/>
        </w:r>
      </w:p>
    </w:sdtContent>
  </w:sdt>
  <w:p w:rsidR="00AF2788" w:rsidRDefault="00AF278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C59" w:rsidRDefault="00495C59" w:rsidP="00AF2788">
      <w:r>
        <w:separator/>
      </w:r>
    </w:p>
  </w:footnote>
  <w:footnote w:type="continuationSeparator" w:id="0">
    <w:p w:rsidR="00495C59" w:rsidRDefault="00495C59" w:rsidP="00AF2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DD"/>
    <w:rsid w:val="000A1F5A"/>
    <w:rsid w:val="003D3111"/>
    <w:rsid w:val="00495C59"/>
    <w:rsid w:val="006D3DFE"/>
    <w:rsid w:val="00AC1FCA"/>
    <w:rsid w:val="00AF2788"/>
    <w:rsid w:val="00D2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42AFD2-D8A3-4A9C-BFE5-8B7F6FA2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F27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27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78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F278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F27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</Words>
  <Characters>927</Characters>
  <Application>Microsoft Office Word</Application>
  <DocSecurity>0</DocSecurity>
  <Lines>7</Lines>
  <Paragraphs>2</Paragraphs>
  <ScaleCrop>false</ScaleCrop>
  <Company>Organization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</cp:revision>
  <dcterms:created xsi:type="dcterms:W3CDTF">2024-04-12T16:28:00Z</dcterms:created>
  <dcterms:modified xsi:type="dcterms:W3CDTF">2024-04-12T16:51:00Z</dcterms:modified>
</cp:coreProperties>
</file>